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pPr>
      <w:r>
        <w:rPr>
          <w:b/>
          <w:color w:val="000000"/>
          <w:sz w:val="40"/>
        </w:rPr>
        <w:t>BloombergHT - EKONOMİK HABERLER</w:t>
      </w:r>
    </w:p>
    <w:p>
      <w:pPr>
        <w:keepNext/>
      </w:pPr>
      <w:r>
        <w:rPr>
          <w:b/>
          <w:sz w:val="32"/>
          <w:u w:val="single"/>
        </w:rPr>
        <w:t>Türkiye</w:t>
      </w:r>
    </w:p>
    <w:p>
      <w:pPr>
        <w:keepNext/>
      </w:pPr>
      <w:r>
        <w:t>Hazine ve Maliye Bakanlığı, 80 milyar 74 milyon 420 bin TL tutarında, TLREFK endeksli, 2 yıl vadeli kira sertifikası ihracı gerçekleştirdi. Kira sertifikası 10 Eylül 2025 valörlü ve 8 Eylül 2027 itfa tarihli olarak ihraç edildi.</w:t>
      </w:r>
    </w:p>
    <w:p>
      <w:pPr>
        <w:keepNext/>
      </w:pPr>
      <w:r>
        <w:rPr>
          <w:b/>
        </w:rPr>
        <w:t xml:space="preserve">Ekonomik Alan: </w:t>
      </w:r>
      <w:r>
        <w:t>Kamu finansmanı, finansal piyasalar</w:t>
      </w:r>
    </w:p>
    <w:p/>
    <w:p>
      <w:pPr>
        <w:keepNext/>
      </w:pPr>
      <w:r>
        <w:t>Borsa İstanbul, SPK’nın kararıyla Volatilite Bazlı Tedbir Sistemi kapsamında İz Yatırım Holding paylarında 9 Eylül - 8 Ekim 2025 arasında kredili işlem ve emir paketi kısıtlamaları uygulayacak. Bu dönemde piyasa emri, emir iptali ve limite emir girişi yasaklandı.</w:t>
      </w:r>
    </w:p>
    <w:p>
      <w:pPr>
        <w:keepNext/>
      </w:pPr>
      <w:r>
        <w:rPr>
          <w:b/>
        </w:rPr>
        <w:t xml:space="preserve">Ekonomik Alan: </w:t>
      </w:r>
      <w:r>
        <w:t>Finansal piyasalar, sermaye piyasası düzenlemeleri</w:t>
      </w:r>
    </w:p>
    <w:p/>
    <w:p>
      <w:pPr>
        <w:keepNext/>
      </w:pPr>
      <w:r>
        <w:t>Cumhurbaşkanı Erdoğan, Türkiye'nin de dahil olduğu 15 ülkede 62 nükleer reaktör inşa edildiğini ve Akkuyu'nun devreye girmesiyle yılda 35 milyon ton karbon emisyonunun engelleneceğini belirtti. Deprem bölgelerine yönelik 304 bin 836 bağımsız bölümün hak sahiplerine teslim edildiğini, 75 milyar dolar kaynak kullanıldığını ve yılbaşına kadar 453 bin bağımsız bölüm hedeflendiğini açıkladı. Üç yıllık ekonomik yol haritasında 2028'de 1,9 trilyon dolar GSYH, kişi başı 21 bin dolar gelir, yüzde 8'in altında işsizlik, 300 milyar dolar mal ve 75 milyar dolar turizm geliri hedefleniyor.</w:t>
      </w:r>
    </w:p>
    <w:p>
      <w:pPr>
        <w:keepNext/>
      </w:pPr>
      <w:r>
        <w:rPr>
          <w:b/>
        </w:rPr>
        <w:t xml:space="preserve">Ekonomik Alan: </w:t>
      </w:r>
      <w:r>
        <w:t>Enerji, kamu harcamaları, inşaat, makroekonomi, istihdam, dış ticaret</w:t>
      </w:r>
    </w:p>
    <w:p/>
    <w:p>
      <w:pPr>
        <w:keepNext/>
      </w:pPr>
      <w:r>
        <w:t>Renault’nun yeni Clio modeli Münih IAA Mobility 2025’te tanıtıldı; Bursa Oyak Renault Fabrikası, yeni nesil Clio’nun üretim merkezi olacak. 2026’nın ilk çeyreğinde Türkiye’de satışa sunulacak olan Clio, E-Tech 160 hp hibrit motor ile şehir içinde %80 elektrikli sürüş ve %40 yakıt tasarrufu sağlıyor.</w:t>
      </w:r>
    </w:p>
    <w:p>
      <w:pPr>
        <w:keepNext/>
      </w:pPr>
      <w:r>
        <w:rPr>
          <w:b/>
        </w:rPr>
        <w:t xml:space="preserve">Ekonomik Alan: </w:t>
      </w:r>
      <w:r>
        <w:t>Otomotiv sektörü, üretim, teknoloji</w:t>
      </w:r>
    </w:p>
    <w:p/>
    <w:p>
      <w:pPr>
        <w:keepNext/>
      </w:pPr>
      <w:r>
        <w:t>Tofaş, Stellantis ile 256 milyon euroya kadar yatırımla yılda 150 bin araç kapasiteli üretim sözleşmesi imzaladı. Proje, 2026'nın üçüncü çeyreğinde başlayacak ve üretimin yüzde 80'i Türkiye piyasasına yönelik olacak. 2034 sonuna kadar yaklaşık 660 bin araç üretilmesi planlanıyor.</w:t>
      </w:r>
    </w:p>
    <w:p>
      <w:pPr>
        <w:keepNext/>
      </w:pPr>
      <w:r>
        <w:rPr>
          <w:b/>
        </w:rPr>
        <w:t xml:space="preserve">Ekonomik Alan: </w:t>
      </w:r>
      <w:r>
        <w:t>Sanayi yatırımı, otomotiv üretimi, ihracat</w:t>
      </w:r>
    </w:p>
    <w:p/>
    <w:p>
      <w:pPr>
        <w:keepNext/>
      </w:pPr>
      <w:r>
        <w:t>Resmi Gazete'de yayımlanan yeni kararlarla basit usulde tespit edilen ticari kazanç vergisi, yurtdışına çıkış harcı ve maktu harç tutarları yeniden belirlenirken, Türkiye Tarımsal Gıda Sektörü için Dünya Bankası ile hibe anlaşması imzalandı. Mali Suçları Araştırma Kurulu yeni tebliğ yayımladı; TCMB resmi döviz kurları ve borçlanma senetlerinin günlük değerleri açıklandı.</w:t>
      </w:r>
    </w:p>
    <w:p>
      <w:pPr>
        <w:keepNext/>
      </w:pPr>
      <w:r>
        <w:rPr>
          <w:b/>
        </w:rPr>
        <w:t xml:space="preserve">Ekonomik Alan: </w:t>
      </w:r>
      <w:r>
        <w:t>Kamu maliyesi, vergi politikası, tarım sektörü, finansal piyasalar</w:t>
      </w:r>
    </w:p>
    <w:p/>
    <w:p>
      <w:pPr>
        <w:keepNext/>
      </w:pPr>
      <w:r>
        <w:t>Yurt dışına çıkış harcı, Resmi Gazete'de yayımlanan tebliğle bin TL'ye yükseltildi. Yeni tutar 10 gün sonra yürürlüğe girecek ve eski tutardan yapılan ödemelere fark istenmeyecek.</w:t>
      </w:r>
    </w:p>
    <w:p>
      <w:pPr>
        <w:keepNext/>
      </w:pPr>
      <w:r>
        <w:rPr>
          <w:b/>
        </w:rPr>
        <w:t xml:space="preserve">Ekonomik Alan: </w:t>
      </w:r>
      <w:r>
        <w:t>Kamu maliyesi, vergi uygulamaları</w:t>
      </w:r>
    </w:p>
    <w:p/>
    <w:p>
      <w:pPr>
        <w:keepNext/>
      </w:pPr>
      <w:r>
        <w:t>Cumhurbaşkanı kararıyla, Büyükşehir belediyesi olan illerde 30 binin üzerindeki ilçe mükellefleri 1 Ocak 2026'dan itibaren basit değil gerçek usulde vergilendirilecek. Bu düzenlemeyle 815 bin basit usulden önemli bir kısmı gerçek usule geçecek ve gelir vergisi ile KDV tahakkuku artacak.</w:t>
      </w:r>
    </w:p>
    <w:p>
      <w:pPr>
        <w:keepNext/>
      </w:pPr>
      <w:r>
        <w:rPr>
          <w:b/>
        </w:rPr>
        <w:t xml:space="preserve">Ekonomik Alan: </w:t>
      </w:r>
      <w:r>
        <w:t>Vergi mevzuatı, kamu maliyesi</w:t>
      </w:r>
    </w:p>
    <w:p/>
    <w:p>
      <w:pPr>
        <w:keepNext/>
      </w:pPr>
      <w:r>
        <w:t>Türkiye İstatistik Kurumu, 2024 yılı uluslararası hizmet ticareti verilerini açıklayacak ve Hazine ve Maliye Bakanlığı 2 ve 5 yıl vadeli devlet tahvillerinin yeniden ihraç ihalelerini gerçekleştirecek. Bu gelişmeler dış ticaret ve kamu finansmanı üzerinde doğrudan etkili olacak.</w:t>
      </w:r>
    </w:p>
    <w:p>
      <w:pPr>
        <w:keepNext/>
      </w:pPr>
      <w:r>
        <w:rPr>
          <w:b/>
        </w:rPr>
        <w:t xml:space="preserve">Ekonomik Alan: </w:t>
      </w:r>
      <w:r>
        <w:t>Dış ticaret, kamu finansmanı</w:t>
      </w:r>
    </w:p>
    <w:p/>
    <w:p>
      <w:pPr>
        <w:keepNext/>
      </w:pPr>
      <w:r>
        <w:t>Garanti BBVA, toplam 1,69 milyar TL tutarındaki tahsili gecikmiş alacaklarını üç ayrı portföyde 279,2 milyon TL bedelle varlık yönetim şirketlerine sattı. Satış kapsamında kredi, kredi kartı ve bağlı hesaplara ait alacaklar devredildi.</w:t>
      </w:r>
    </w:p>
    <w:p>
      <w:pPr>
        <w:keepNext/>
      </w:pPr>
      <w:r>
        <w:rPr>
          <w:b/>
        </w:rPr>
        <w:t xml:space="preserve">Ekonomik Alan: </w:t>
      </w:r>
      <w:r>
        <w:t>Bankacılık, finansal piyasalar</w:t>
      </w:r>
    </w:p>
    <w:p/>
    <w:p>
      <w:pPr>
        <w:keepNext/>
      </w:pPr>
      <w:r>
        <w:rPr>
          <w:b/>
          <w:sz w:val="32"/>
          <w:u w:val="single"/>
        </w:rPr>
        <w:t>ABD</w:t>
      </w:r>
    </w:p>
    <w:p>
      <w:pPr>
        <w:keepNext/>
      </w:pPr>
      <w:r>
        <w:t>ABD 2. Daire Temyiz Mahkemesi, Donald Trump'ın E. Jean Carroll'a hakaret ettiği gerekçesiyle verilen 83,3 milyon dolarlık tazminat kararını onayladı. Karar, başkanlık dokunulmazlığı savunmasının reddedilmesi ve jüri kararlarının adil bulunması gerekçesiyle alındı.</w:t>
      </w:r>
    </w:p>
    <w:p>
      <w:pPr>
        <w:keepNext/>
      </w:pPr>
      <w:r>
        <w:rPr>
          <w:b/>
        </w:rPr>
        <w:t xml:space="preserve">Ekonomik Alan: </w:t>
      </w:r>
      <w:r>
        <w:t>Yargı süreçleri, kamu maliyesi, üst düzey siyasi aktörler</w:t>
      </w:r>
    </w:p>
    <w:p/>
    <w:p>
      <w:pPr>
        <w:keepNext/>
      </w:pPr>
      <w:r>
        <w:t>EchoStar, AWS-4 ve H-blok spektrum lisanslarını SpaceX’e toplamda yaklaşık 17 milyar dolar karşılığında satacak. Satış bedeli 8,5 milyar dolar nakit ve 8,5 milyar dolar SpaceX hissesiyle ödenecek. SpaceX, bu lisanslarla Starlink Direct-To-Cell uydu iletişim teknolojisini geliştirecek.</w:t>
      </w:r>
    </w:p>
    <w:p>
      <w:pPr>
        <w:keepNext/>
      </w:pPr>
      <w:r>
        <w:rPr>
          <w:b/>
        </w:rPr>
        <w:t xml:space="preserve">Ekonomik Alan: </w:t>
      </w:r>
      <w:r>
        <w:t>Teknoloji, telekomünikasyon, yatırım</w:t>
      </w:r>
    </w:p>
    <w:p/>
    <w:p>
      <w:pPr>
        <w:keepNext/>
      </w:pPr>
      <w:r>
        <w:t>ABD'de kısa vadeli enflasyon beklentisi Ağustos'ta %3,2'ye yükseldi. İş bulma beklentisi 10 yılın en düşük düzeyine gerilerken, hane harcamalarında artış beklentisi %5'e çıktı. Orta ve uzun vadeli enflasyon beklentileri dengede kalmaya devam etti.</w:t>
      </w:r>
    </w:p>
    <w:p>
      <w:pPr>
        <w:keepNext/>
      </w:pPr>
      <w:r>
        <w:rPr>
          <w:b/>
        </w:rPr>
        <w:t xml:space="preserve">Ekonomik Alan: </w:t>
      </w:r>
      <w:r>
        <w:t>Enflasyon, tüketici beklentileri, işgücü piyasası</w:t>
      </w:r>
    </w:p>
    <w:p/>
    <w:p>
      <w:pPr>
        <w:keepNext/>
      </w:pPr>
      <w:r>
        <w:t>ABD'de tüketici kredileri Temmuz ayında 16 milyar dolar artarak 5,1 trilyon dolara ulaştı ve beklentileri aştı. Kredi kartı türü krediler aylık 10,5 milyar dolar, ev, otomobil gibi krediler aylık 5,5 milyar dolar yükseldi. Tüketici kredilerinin yıllık bazda artışı %3,8 oldu.</w:t>
      </w:r>
    </w:p>
    <w:p>
      <w:pPr>
        <w:keepNext/>
      </w:pPr>
      <w:r>
        <w:rPr>
          <w:b/>
        </w:rPr>
        <w:t xml:space="preserve">Ekonomik Alan: </w:t>
      </w:r>
      <w:r>
        <w:t>Finansal piyasalar, tüketici kredileri</w:t>
      </w:r>
    </w:p>
    <w:p/>
    <w:p>
      <w:pPr>
        <w:keepNext/>
      </w:pPr>
      <w:r>
        <w:t>ABD'de Temmuz ayında tarım ihracatı, ithalatın 4,97 milyar dolar gerisinde kaldı ve yılın ilk yedi ayında tarımsal ticaret açığı 33,6 milyar dolara ulaştı. 2025'te ithalat %8 artışla 132 milyar dolara çıkarken ihracat %1,3 düşüşle 98,8 milyar dolara indi. Ağustos ayında yeni gümrük vergileri yürürlüğe girdi.</w:t>
      </w:r>
    </w:p>
    <w:p>
      <w:pPr>
        <w:keepNext/>
      </w:pPr>
      <w:r>
        <w:rPr>
          <w:b/>
        </w:rPr>
        <w:t xml:space="preserve">Ekonomik Alan: </w:t>
      </w:r>
      <w:r>
        <w:t>Dış ticaret, tarım, kamu politikası</w:t>
      </w:r>
    </w:p>
    <w:p/>
    <w:p>
      <w:pPr>
        <w:keepNext/>
      </w:pPr>
      <w:r>
        <w:t>Altın ons fiyatı yüzde 0,4 artışla 3.651 dolara çıkarak yeni rekor kırdı. Fiyatlar, Fed’in olası faiz indirimi beklentisi, tahvil faizlerindeki gerileme ve doların zayıflamasıyla destekleniyor. Altın bu yıl yüzde 38 yükseldi.</w:t>
      </w:r>
    </w:p>
    <w:p>
      <w:pPr>
        <w:keepNext/>
      </w:pPr>
      <w:r>
        <w:rPr>
          <w:b/>
        </w:rPr>
        <w:t xml:space="preserve">Ekonomik Alan: </w:t>
      </w:r>
      <w:r>
        <w:t>Finansal piyasalar, para politikası, emtia</w:t>
      </w:r>
    </w:p>
    <w:p/>
    <w:p>
      <w:pPr>
        <w:keepNext/>
      </w:pPr>
      <w:r>
        <w:t>ABD, Japonya ile yapılan anlaşma kapsamında otomobil ve yedek parçalara uyguladığı gümrük vergilerini 16 Eylül'den itibaren %15'e indirecek. Japonya ise ABD'ye 550 milyar dolarlık yatırım ve kredi paketi sunmayı taahhüt etti. Ancak ilaç ve yarı iletkenlerde ticaret müzakereleri tamamlanmadı.</w:t>
      </w:r>
    </w:p>
    <w:p>
      <w:pPr>
        <w:keepNext/>
      </w:pPr>
      <w:r>
        <w:rPr>
          <w:b/>
        </w:rPr>
        <w:t xml:space="preserve">Ekonomik Alan: </w:t>
      </w:r>
      <w:r>
        <w:t>Dış ticaret, yatırım, sanayi</w:t>
      </w:r>
    </w:p>
    <w:p/>
    <w:p>
      <w:pPr>
        <w:keepNext/>
      </w:pPr>
      <w:r>
        <w:rPr>
          <w:b/>
          <w:sz w:val="32"/>
          <w:u w:val="single"/>
        </w:rPr>
        <w:t>Asya</w:t>
      </w:r>
    </w:p>
    <w:p>
      <w:pPr>
        <w:keepNext/>
      </w:pPr>
      <w:r>
        <w:t>Çin Devlet Başkanı Şi Cinping, BRICS Zirvesi'nde çok taraflılığı savunarak ticaret savaşlarının küresel ekonomiyi olumsuz etkilediğini vurguladı. BRICS ülkelerinin dünya ekonomisinin %30'unu ve ticaretin 5'te birini oluşturduğunu belirtti. Açıklama, küresel ticaret düzeni ve ekonomik politikalar üzerinde etki potansiyeline sahip.</w:t>
      </w:r>
    </w:p>
    <w:p>
      <w:pPr>
        <w:keepNext/>
      </w:pPr>
      <w:r>
        <w:rPr>
          <w:b/>
        </w:rPr>
        <w:t xml:space="preserve">Ekonomik Alan: </w:t>
      </w:r>
      <w:r>
        <w:t>Dış ticaret, uluslararası ekonomik politika</w:t>
      </w:r>
    </w:p>
    <w:p/>
    <w:p>
      <w:pPr>
        <w:keepNext/>
      </w:pPr>
      <w:r>
        <w:t>Hindistan Merkez Bankası'nın ABD Hazine tahvillerine yatırımı Haziran'da 227,4 milyar dolara geriledi, altın varlıkları ise 880 tona yükseldi. Rezervlerin çeşitlendirilmesi ve ABD dolarına bağımlılığın azaltılması için stratejik adımlar atıldığı belirtildi.</w:t>
      </w:r>
    </w:p>
    <w:p>
      <w:pPr>
        <w:keepNext/>
      </w:pPr>
      <w:r>
        <w:rPr>
          <w:b/>
        </w:rPr>
        <w:t xml:space="preserve">Ekonomik Alan: </w:t>
      </w:r>
      <w:r>
        <w:t>Rezerv yönetimi, finansal piyasalar, para politikası</w:t>
      </w:r>
    </w:p>
    <w:p/>
    <w:p>
      <w:pPr>
        <w:keepNext/>
      </w:pPr>
      <w:r>
        <w:t>Çin’in kurumsal satış gelirleri Ağustos’ta bir önceki aya göre %0,9 arttı. Yüksek teknoloji sektöründe satış gelirleri geçen yılın aynı ayına göre %14,5 yükseldi, dijital ürün imalatı %9,6 artış gösterdi. Turizm ve eğlence sektörlerinde de çift haneli büyüme yaşandı.</w:t>
      </w:r>
    </w:p>
    <w:p>
      <w:pPr>
        <w:keepNext/>
      </w:pPr>
      <w:r>
        <w:rPr>
          <w:b/>
        </w:rPr>
        <w:t xml:space="preserve">Ekonomik Alan: </w:t>
      </w:r>
      <w:r>
        <w:t>Makroekonomi, sektörler arası büyüme, teknoloji ve hizmet sektörü</w:t>
      </w:r>
    </w:p>
    <w:p/>
    <w:p>
      <w:pPr>
        <w:keepNext/>
      </w:pPr>
      <w:r>
        <w:t>Tokyo'da Nikkei 225 endeksi ilk kez 44 bin puan seviyesini gördü. ABD'nin Japon otomobillerine uyguladığı gümrük vergilerini 16 Eylül’e kadar düşüreceği açıklandı. Piyasada teşvik beklentileri ve siyasi gelişmeler yatırımcı güvenini destekledi.</w:t>
      </w:r>
    </w:p>
    <w:p>
      <w:pPr>
        <w:keepNext/>
      </w:pPr>
      <w:r>
        <w:rPr>
          <w:b/>
        </w:rPr>
        <w:t xml:space="preserve">Ekonomik Alan: </w:t>
      </w:r>
      <w:r>
        <w:t>Finansal piyasalar, dış ticaret, kamu maliyesi</w:t>
      </w:r>
    </w:p>
    <w:p/>
    <w:p>
      <w:pPr>
        <w:keepNext/>
      </w:pPr>
      <w:r>
        <w:rPr>
          <w:b/>
          <w:sz w:val="32"/>
          <w:u w:val="single"/>
        </w:rPr>
        <w:t>Avrupa</w:t>
      </w:r>
    </w:p>
    <w:p>
      <w:pPr>
        <w:keepNext/>
      </w:pPr>
      <w:r>
        <w:t>Fransa Başbakanı François Bayrou'nun hükümeti, bütçe ve kamu borcu krizleri eşliğinde yapılan güven oylamasında 194'e karşı 364 oyla düştü. Hükümet, 43 milyar euro tasarruf ve bazı resmi tatillerin kaldırılması içeren 2026 bütçesi üzerine parlamentodan destek alamadı.</w:t>
      </w:r>
    </w:p>
    <w:p>
      <w:pPr>
        <w:keepNext/>
      </w:pPr>
      <w:r>
        <w:rPr>
          <w:b/>
        </w:rPr>
        <w:t xml:space="preserve">Ekonomik Alan: </w:t>
      </w:r>
      <w:r>
        <w:t>Kamu maliyesi, bütçe politikası, finansal kriz</w:t>
      </w:r>
    </w:p>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